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1C" w:rsidRPr="006E1A72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דף עבודה: ברית הבריונים</w:t>
      </w:r>
    </w:p>
    <w:p w:rsidR="008B681C" w:rsidRPr="007E61AC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ברית הבריונים </w:t>
      </w:r>
    </w:p>
    <w:p w:rsidR="008B681C" w:rsidRDefault="008B681C" w:rsidP="008B681C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אותם בריונים שהיו בשכנותו של רבי מאיר והיו מצערים אותו הרבה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היה מבקש רבי מאיר רחמים עליהם שימותו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 </w:t>
      </w:r>
    </w:p>
    <w:p w:rsidR="008B681C" w:rsidRPr="006E1A72" w:rsidRDefault="008B681C" w:rsidP="008B681C">
      <w:pPr>
        <w:shd w:val="clear" w:color="auto" w:fill="FFFFFF"/>
        <w:spacing w:after="0" w:line="360" w:lineRule="auto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אמרה לו ברוריה אשתו: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"על מה סומך אתה בתפילה זו שימותו הבריונים?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משום שנאמר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יתמו חטאים</w:t>
      </w:r>
      <w:r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מן הארץ' וסבור אתה כי טוב לעולם בכיליון הרשעים. ואולם האם נאמר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'יתמו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חוטאים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?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והלא 'יתמו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חטאים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נאמר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, ויש להתפלל לכיליונה של הרשעות ולא של הרשע.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ועוד,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המשך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לסופו של הפסוק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וכתוב שם 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ורשעים עוד אינ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ם'.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כיוון ש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יתמו חטאים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 מכאן והלאה כיצד אפשר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יהא ש'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רשעים עוד אינם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 xml:space="preserve">', כלומר, שאינם עוד רשעים? 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אלא בקש רחמים עליהם שיחזרו בתשובה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, וממילא יתקיים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ורשעים עוד אינם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'.'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br/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ביקש רחמים עליהם וחזרו בתשובה</w:t>
      </w:r>
      <w:r>
        <w:rPr>
          <w:rFonts w:ascii="David" w:eastAsia="Times New Roman" w:hAnsi="David" w:cs="David" w:hint="cs"/>
          <w:b/>
          <w:bCs/>
          <w:color w:val="000000" w:themeColor="text1"/>
          <w:sz w:val="24"/>
          <w:szCs w:val="24"/>
          <w:rtl/>
        </w:rPr>
        <w:t>.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> </w:t>
      </w:r>
      <w:r w:rsidRPr="007E61AC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br/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(בבלי ברכות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דף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י ע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מוד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א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בתרגום ופירוש הרב </w:t>
      </w:r>
      <w:proofErr w:type="spellStart"/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שטיינזלץ</w:t>
      </w:r>
      <w:proofErr w:type="spellEnd"/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)</w:t>
      </w:r>
    </w:p>
    <w:p w:rsidR="008B681C" w:rsidRPr="006E1A72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כיצד ברוריה, אשתו של רבי מאיר,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מפרשת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את הפסוק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יִתַּמּוּ חַטָּאִים מִן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איזה קשר ברוריה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יוצרת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בין ראשיתו של הפסוק לסופו?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בהמשך לקשר זה, איזה שינוי היא מבקשת מר' מאיר שיערוך בתפילתו?</w:t>
      </w:r>
    </w:p>
    <w:p w:rsidR="008B681C" w:rsidRPr="006E1A72" w:rsidRDefault="008B681C" w:rsidP="008B681C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מה ההבדל בין תפיסת העולם של ר' מאיר לבין תפיסת העולם של ברוריה בכל הנוגע לנוכחותם של רשעים בעולם? </w:t>
      </w:r>
    </w:p>
    <w:p w:rsidR="00DD4E1B" w:rsidRDefault="00DD4E1B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</w:p>
    <w:p w:rsidR="008B681C" w:rsidRPr="006E1A72" w:rsidRDefault="008B681C" w:rsidP="008B681C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bookmarkStart w:id="0" w:name="_GoBack"/>
      <w:bookmarkEnd w:id="0"/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להלן תשובות לדף העבודה: ברית הבריונים לשימוש המורה:</w:t>
      </w:r>
    </w:p>
    <w:p w:rsidR="008B681C" w:rsidRPr="006E1A72" w:rsidRDefault="008B681C" w:rsidP="008B681C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כיצד ברוריה, אשתו של רבי מאיר,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מפרשת 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את הפסוק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יִתַּמּוּ חַטָּאִים מִן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C4A6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? 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ייתמו מעשי החטא.</w:t>
      </w:r>
    </w:p>
    <w:p w:rsidR="008B681C" w:rsidRPr="006E1A72" w:rsidRDefault="008B681C" w:rsidP="008B681C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איזה קשר ברוריה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יוצרת</w:t>
      </w: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בין ראשיתו של הפסוק לסופו? 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סיבה ותוצאה</w:t>
      </w:r>
    </w:p>
    <w:p w:rsidR="008B681C" w:rsidRPr="007E61AC" w:rsidRDefault="008B681C" w:rsidP="008B681C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u w:val="single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בהמשך לקשר זה,  איזה שינוי היא מבקשת מר' מאיר שיערוך בתפילתו? 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שלא יתפלל למותם של רשעים, אלא לחזרתם בתשובה.</w:t>
      </w:r>
    </w:p>
    <w:p w:rsidR="008B681C" w:rsidRPr="007E61AC" w:rsidRDefault="008B681C" w:rsidP="008B681C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u w:val="single"/>
        </w:rPr>
      </w:pPr>
      <w:r w:rsidRPr="006E1A72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מה ההבדל בין תפיסת העולם של ר' מאיר לבין תפיסת העולם של ברוריה בכל הנוגע לנוכחותם של רשעים בעולם? 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הוא מבקש שימותו הרשעים – כך שלא יהיו כלל אנשים חוטאים בעולם. היא מבקשת שהחוטאים י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u w:val="single"/>
          <w:rtl/>
        </w:rPr>
        <w:t>ש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ו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u w:val="single"/>
          <w:rtl/>
        </w:rPr>
        <w:t>בו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 xml:space="preserve"> תשובה,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u w:val="single"/>
          <w:rtl/>
        </w:rPr>
        <w:t>ו</w:t>
      </w:r>
      <w:r w:rsidRPr="007E61AC">
        <w:rPr>
          <w:rFonts w:asciiTheme="minorBidi" w:eastAsia="Times New Roman" w:hAnsiTheme="minorBidi"/>
          <w:color w:val="000000" w:themeColor="text1"/>
          <w:sz w:val="24"/>
          <w:szCs w:val="24"/>
          <w:u w:val="single"/>
          <w:rtl/>
        </w:rPr>
        <w:t>כך יהיו בעולם אנשים שחטאו בעבר.</w:t>
      </w:r>
    </w:p>
    <w:p w:rsidR="00A8685F" w:rsidRPr="008B681C" w:rsidRDefault="00A8685F" w:rsidP="008B681C"/>
    <w:sectPr w:rsidR="00A8685F" w:rsidRPr="008B681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AD"/>
    <w:multiLevelType w:val="hybridMultilevel"/>
    <w:tmpl w:val="D2FE0C44"/>
    <w:lvl w:ilvl="0" w:tplc="C5CE0BAA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7C3D"/>
    <w:multiLevelType w:val="hybridMultilevel"/>
    <w:tmpl w:val="BD78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29A"/>
    <w:multiLevelType w:val="hybridMultilevel"/>
    <w:tmpl w:val="79C62ABC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345"/>
    <w:multiLevelType w:val="hybridMultilevel"/>
    <w:tmpl w:val="89284DA0"/>
    <w:lvl w:ilvl="0" w:tplc="5F2EE960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F744E"/>
    <w:multiLevelType w:val="hybridMultilevel"/>
    <w:tmpl w:val="29BC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F1077"/>
    <w:multiLevelType w:val="hybridMultilevel"/>
    <w:tmpl w:val="87B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C101E"/>
    <w:multiLevelType w:val="hybridMultilevel"/>
    <w:tmpl w:val="DAB274B2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258C"/>
    <w:multiLevelType w:val="hybridMultilevel"/>
    <w:tmpl w:val="CDF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036EA"/>
    <w:multiLevelType w:val="hybridMultilevel"/>
    <w:tmpl w:val="95D0EEC6"/>
    <w:lvl w:ilvl="0" w:tplc="FA2AD64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7AE1"/>
    <w:multiLevelType w:val="hybridMultilevel"/>
    <w:tmpl w:val="1AB62FE0"/>
    <w:lvl w:ilvl="0" w:tplc="94B6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49ED"/>
    <w:multiLevelType w:val="hybridMultilevel"/>
    <w:tmpl w:val="F93AB37E"/>
    <w:lvl w:ilvl="0" w:tplc="2EC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DF11C9"/>
    <w:multiLevelType w:val="hybridMultilevel"/>
    <w:tmpl w:val="A0D202E8"/>
    <w:lvl w:ilvl="0" w:tplc="F07EB0F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75555"/>
    <w:multiLevelType w:val="hybridMultilevel"/>
    <w:tmpl w:val="B714FDCC"/>
    <w:lvl w:ilvl="0" w:tplc="15AA6A5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9EB"/>
    <w:multiLevelType w:val="hybridMultilevel"/>
    <w:tmpl w:val="878EB70A"/>
    <w:lvl w:ilvl="0" w:tplc="974E15D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6D89"/>
    <w:multiLevelType w:val="hybridMultilevel"/>
    <w:tmpl w:val="43A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02F57"/>
    <w:multiLevelType w:val="hybridMultilevel"/>
    <w:tmpl w:val="783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E5DF7"/>
    <w:multiLevelType w:val="hybridMultilevel"/>
    <w:tmpl w:val="829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1F71"/>
    <w:multiLevelType w:val="hybridMultilevel"/>
    <w:tmpl w:val="3012890A"/>
    <w:lvl w:ilvl="0" w:tplc="F5E88A40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D4498"/>
    <w:multiLevelType w:val="hybridMultilevel"/>
    <w:tmpl w:val="24D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0061"/>
    <w:multiLevelType w:val="hybridMultilevel"/>
    <w:tmpl w:val="D5EE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006F"/>
    <w:multiLevelType w:val="hybridMultilevel"/>
    <w:tmpl w:val="DAB274B2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69C"/>
    <w:multiLevelType w:val="hybridMultilevel"/>
    <w:tmpl w:val="796EF7EE"/>
    <w:lvl w:ilvl="0" w:tplc="2DD6E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C1700"/>
    <w:multiLevelType w:val="hybridMultilevel"/>
    <w:tmpl w:val="C2BA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16A2A"/>
    <w:multiLevelType w:val="hybridMultilevel"/>
    <w:tmpl w:val="FFC6EFB0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15"/>
  </w:num>
  <w:num w:numId="5">
    <w:abstractNumId w:val="22"/>
  </w:num>
  <w:num w:numId="6">
    <w:abstractNumId w:val="25"/>
  </w:num>
  <w:num w:numId="7">
    <w:abstractNumId w:val="0"/>
  </w:num>
  <w:num w:numId="8">
    <w:abstractNumId w:val="16"/>
  </w:num>
  <w:num w:numId="9">
    <w:abstractNumId w:val="24"/>
  </w:num>
  <w:num w:numId="10">
    <w:abstractNumId w:val="20"/>
  </w:num>
  <w:num w:numId="11">
    <w:abstractNumId w:val="18"/>
  </w:num>
  <w:num w:numId="12">
    <w:abstractNumId w:val="21"/>
  </w:num>
  <w:num w:numId="13">
    <w:abstractNumId w:val="9"/>
  </w:num>
  <w:num w:numId="14">
    <w:abstractNumId w:val="27"/>
  </w:num>
  <w:num w:numId="15">
    <w:abstractNumId w:val="4"/>
  </w:num>
  <w:num w:numId="16">
    <w:abstractNumId w:val="13"/>
  </w:num>
  <w:num w:numId="17">
    <w:abstractNumId w:val="11"/>
  </w:num>
  <w:num w:numId="18">
    <w:abstractNumId w:val="19"/>
  </w:num>
  <w:num w:numId="19">
    <w:abstractNumId w:val="2"/>
  </w:num>
  <w:num w:numId="20">
    <w:abstractNumId w:val="10"/>
  </w:num>
  <w:num w:numId="21">
    <w:abstractNumId w:val="28"/>
  </w:num>
  <w:num w:numId="22">
    <w:abstractNumId w:val="14"/>
  </w:num>
  <w:num w:numId="23">
    <w:abstractNumId w:val="7"/>
  </w:num>
  <w:num w:numId="24">
    <w:abstractNumId w:val="1"/>
  </w:num>
  <w:num w:numId="25">
    <w:abstractNumId w:val="23"/>
  </w:num>
  <w:num w:numId="26">
    <w:abstractNumId w:val="5"/>
  </w:num>
  <w:num w:numId="27">
    <w:abstractNumId w:val="29"/>
  </w:num>
  <w:num w:numId="28">
    <w:abstractNumId w:val="12"/>
  </w:num>
  <w:num w:numId="29">
    <w:abstractNumId w:val="3"/>
  </w:num>
  <w:num w:numId="30">
    <w:abstractNumId w:val="2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0F0D59"/>
    <w:rsid w:val="00206801"/>
    <w:rsid w:val="005E486A"/>
    <w:rsid w:val="00654242"/>
    <w:rsid w:val="008B681C"/>
    <w:rsid w:val="00963BBA"/>
    <w:rsid w:val="00A8685F"/>
    <w:rsid w:val="00CA0F51"/>
    <w:rsid w:val="00DD4E1B"/>
    <w:rsid w:val="00E03813"/>
    <w:rsid w:val="00E7406C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  <w:style w:type="paragraph" w:styleId="NormalWeb">
    <w:name w:val="Normal (Web)"/>
    <w:basedOn w:val="a"/>
    <w:uiPriority w:val="99"/>
    <w:unhideWhenUsed/>
    <w:rsid w:val="000F0D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F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2020-01-12T06:09:00Z</dcterms:created>
  <dcterms:modified xsi:type="dcterms:W3CDTF">2020-01-12T06:09:00Z</dcterms:modified>
</cp:coreProperties>
</file>